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06E8" w:rsidRPr="004A1810" w:rsidRDefault="00AB06E8" w:rsidP="00AB06E8">
      <w:pPr>
        <w:pStyle w:val="Title"/>
        <w:rPr>
          <w:rFonts w:asciiTheme="minorHAnsi" w:hAnsiTheme="minorHAnsi" w:cstheme="minorHAnsi"/>
          <w:color w:val="2E74B5" w:themeColor="accent1" w:themeShade="BF"/>
          <w:sz w:val="40"/>
          <w:szCs w:val="40"/>
        </w:rPr>
      </w:pPr>
      <w:r w:rsidRPr="00F463ED">
        <w:rPr>
          <w:rFonts w:asciiTheme="minorHAnsi" w:hAnsiTheme="minorHAnsi" w:cstheme="minorHAnsi"/>
          <w:color w:val="2E74B5" w:themeColor="accent1" w:themeShade="BF"/>
          <w:sz w:val="44"/>
          <w:szCs w:val="44"/>
        </w:rPr>
        <w:t xml:space="preserve">Georgia’s Teacher Preparation Program Effectiveness Measure (TPPEM) </w:t>
      </w:r>
      <w:r w:rsidRPr="004A1810">
        <w:rPr>
          <w:rFonts w:asciiTheme="minorHAnsi" w:hAnsiTheme="minorHAnsi" w:cstheme="minorHAnsi"/>
          <w:color w:val="2E74B5" w:themeColor="accent1" w:themeShade="BF"/>
          <w:sz w:val="40"/>
          <w:szCs w:val="40"/>
        </w:rPr>
        <w:t xml:space="preserve">– Academic Year 2018-2019 </w:t>
      </w:r>
    </w:p>
    <w:p w:rsidR="00AB06E8" w:rsidRDefault="00AB06E8" w:rsidP="00AB06E8">
      <w:r>
        <w:br/>
        <w:t xml:space="preserve">The Teacher Preparation Program Effectiveness Measure (TPPEM) is Georgia’s system for assessing how well Georgia programs are preparing teachers for the classroom. The TPPEM was created through a </w:t>
      </w:r>
      <w:r w:rsidRPr="004A1810">
        <w:rPr>
          <w:b/>
        </w:rPr>
        <w:t>collaborative process</w:t>
      </w:r>
      <w:r>
        <w:t xml:space="preserve"> lasting more than five years and involving stakeholders from the spheres of higher education, both public and private; alternative teacher preparation providers; professional associations; state agencies; and K-12 education; as well as the assistance of technical experts in the field of program assessment.</w:t>
      </w:r>
      <w:r w:rsidR="004A1810">
        <w:t xml:space="preserve"> </w:t>
      </w:r>
      <w:r w:rsidR="004A1810" w:rsidRPr="00972681">
        <w:t xml:space="preserve">Three primary purposes guided those involved in the development of this measure: program improvement, transparency to the public, and accountability for quality of educators produced, with </w:t>
      </w:r>
      <w:r w:rsidR="004A1810" w:rsidRPr="00972681">
        <w:rPr>
          <w:b/>
        </w:rPr>
        <w:t>program improvement</w:t>
      </w:r>
      <w:r w:rsidR="004A1810" w:rsidRPr="00972681">
        <w:t xml:space="preserve"> being the most essential.</w:t>
      </w:r>
    </w:p>
    <w:p w:rsidR="004A1810" w:rsidRPr="004A1810" w:rsidRDefault="004A1810" w:rsidP="004A1810">
      <w:pPr>
        <w:pStyle w:val="Heading2"/>
        <w:rPr>
          <w:rFonts w:asciiTheme="minorHAnsi" w:hAnsiTheme="minorHAnsi" w:cstheme="minorHAnsi"/>
          <w:b/>
          <w:sz w:val="22"/>
          <w:szCs w:val="22"/>
        </w:rPr>
      </w:pPr>
      <w:r w:rsidRPr="004A1810">
        <w:rPr>
          <w:rFonts w:asciiTheme="minorHAnsi" w:hAnsiTheme="minorHAnsi" w:cstheme="minorHAnsi"/>
          <w:b/>
          <w:sz w:val="22"/>
          <w:szCs w:val="22"/>
        </w:rPr>
        <w:t>Components</w:t>
      </w:r>
    </w:p>
    <w:p w:rsidR="00AB06E8" w:rsidRDefault="00AB06E8" w:rsidP="00AB06E8">
      <w:pPr>
        <w:rPr>
          <w:noProof/>
        </w:rPr>
      </w:pPr>
      <w:r w:rsidRPr="00DA5137">
        <w:rPr>
          <w:noProof/>
          <w:color w:val="A80000"/>
        </w:rPr>
        <w:drawing>
          <wp:anchor distT="0" distB="0" distL="114300" distR="114300" simplePos="0" relativeHeight="251659264" behindDoc="0" locked="0" layoutInCell="1" allowOverlap="1" wp14:anchorId="7194CE9E" wp14:editId="74C773CA">
            <wp:simplePos x="0" y="0"/>
            <wp:positionH relativeFrom="column">
              <wp:posOffset>3568700</wp:posOffset>
            </wp:positionH>
            <wp:positionV relativeFrom="paragraph">
              <wp:posOffset>526415</wp:posOffset>
            </wp:positionV>
            <wp:extent cx="2614295" cy="1841500"/>
            <wp:effectExtent l="0" t="0" r="0" b="6350"/>
            <wp:wrapSquare wrapText="bothSides"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It was always the goal of the TPPEM advisory council and task force to grant equal weight to measures collected during teaching candidates’ time in a program, such as certification tests, and those collected in the classroom, such as teacher observations. After much deliberation and with input from technical advisors, </w:t>
      </w:r>
      <w:proofErr w:type="spellStart"/>
      <w:r>
        <w:t>GaPSC</w:t>
      </w:r>
      <w:proofErr w:type="spellEnd"/>
      <w:r>
        <w:t xml:space="preserve"> determined that the TPPEM would contain five measures. Two of these are </w:t>
      </w:r>
      <w:r w:rsidRPr="004A1810">
        <w:rPr>
          <w:b/>
        </w:rPr>
        <w:t>in-program measures</w:t>
      </w:r>
      <w:r w:rsidR="00C37ADF">
        <w:t>, collected during a candidate’s time in a program</w:t>
      </w:r>
      <w:r>
        <w:t xml:space="preserve">: </w:t>
      </w:r>
      <w:proofErr w:type="gramStart"/>
      <w:r>
        <w:t>the</w:t>
      </w:r>
      <w:proofErr w:type="gramEnd"/>
      <w:r>
        <w:t xml:space="preserve"> Educative Teacher Performance Assessment (</w:t>
      </w:r>
      <w:proofErr w:type="spellStart"/>
      <w:r>
        <w:t>edTPA</w:t>
      </w:r>
      <w:proofErr w:type="spellEnd"/>
      <w:r>
        <w:t>)</w:t>
      </w:r>
      <w:r w:rsidR="00C37ADF">
        <w:t xml:space="preserve"> </w:t>
      </w:r>
      <w:r>
        <w:t>and the Georgia Assessments for the Cer</w:t>
      </w:r>
      <w:r w:rsidR="00C37ADF">
        <w:t>tification of Educators (GACE).</w:t>
      </w:r>
      <w:r>
        <w:t xml:space="preserve"> The other three are </w:t>
      </w:r>
      <w:r w:rsidRPr="004A1810">
        <w:rPr>
          <w:b/>
        </w:rPr>
        <w:t>outcome measures</w:t>
      </w:r>
      <w:r w:rsidR="009A64B5">
        <w:t>, collected during a program completer’s first year in the classroom</w:t>
      </w:r>
      <w:r>
        <w:t>: the Teacher Assessment on Performance Standards (TAPS)</w:t>
      </w:r>
      <w:r w:rsidR="00C37ADF">
        <w:t xml:space="preserve">, </w:t>
      </w:r>
      <w:r>
        <w:t>the Employer Perceptions of Preparation Survey</w:t>
      </w:r>
      <w:r w:rsidR="00C37ADF">
        <w:t xml:space="preserve">, </w:t>
      </w:r>
      <w:r>
        <w:t>and the Inductee Per</w:t>
      </w:r>
      <w:r w:rsidR="00C37ADF">
        <w:t>ceptions of Preparation Survey.</w:t>
      </w:r>
      <w:r w:rsidR="00C37ADF">
        <w:rPr>
          <w:noProof/>
        </w:rPr>
        <w:br/>
      </w:r>
    </w:p>
    <w:p w:rsidR="004A1810" w:rsidRPr="00972681" w:rsidRDefault="004A1810" w:rsidP="00AB06E8">
      <w:pPr>
        <w:rPr>
          <w:noProof/>
        </w:rPr>
      </w:pPr>
      <w:r w:rsidRPr="00972681">
        <w:rPr>
          <w:b/>
          <w:noProof/>
        </w:rPr>
        <w:t>edTPA</w:t>
      </w:r>
      <w:r w:rsidR="008B1D26" w:rsidRPr="00972681">
        <w:rPr>
          <w:noProof/>
        </w:rPr>
        <w:t xml:space="preserve"> (30%) – A nationally developed performance-based assessment of teacher candidates</w:t>
      </w:r>
    </w:p>
    <w:p w:rsidR="004A1810" w:rsidRPr="00972681" w:rsidRDefault="004A1810" w:rsidP="008B1D26">
      <w:pPr>
        <w:rPr>
          <w:noProof/>
        </w:rPr>
      </w:pPr>
      <w:r w:rsidRPr="00972681">
        <w:rPr>
          <w:b/>
          <w:noProof/>
        </w:rPr>
        <w:t>GACE</w:t>
      </w:r>
      <w:r w:rsidR="008B1D26" w:rsidRPr="00972681">
        <w:rPr>
          <w:noProof/>
        </w:rPr>
        <w:t xml:space="preserve"> (20%) –</w:t>
      </w:r>
      <w:r w:rsidR="00C37ADF" w:rsidRPr="00972681">
        <w:rPr>
          <w:noProof/>
        </w:rPr>
        <w:t xml:space="preserve"> Georgia’s </w:t>
      </w:r>
      <w:r w:rsidR="008B1D26" w:rsidRPr="00972681">
        <w:rPr>
          <w:noProof/>
        </w:rPr>
        <w:t>standardized content assessment</w:t>
      </w:r>
      <w:r w:rsidR="00C37ADF" w:rsidRPr="00972681">
        <w:rPr>
          <w:noProof/>
        </w:rPr>
        <w:t>,</w:t>
      </w:r>
      <w:r w:rsidR="008B1D26" w:rsidRPr="00972681">
        <w:rPr>
          <w:noProof/>
        </w:rPr>
        <w:t xml:space="preserve"> required for teacher certification in most fields</w:t>
      </w:r>
    </w:p>
    <w:p w:rsidR="004A1810" w:rsidRPr="00972681" w:rsidRDefault="004A1810" w:rsidP="00AB06E8">
      <w:pPr>
        <w:rPr>
          <w:noProof/>
        </w:rPr>
      </w:pPr>
      <w:r w:rsidRPr="00972681">
        <w:rPr>
          <w:b/>
          <w:noProof/>
        </w:rPr>
        <w:t>TAPS</w:t>
      </w:r>
      <w:r w:rsidR="008B1D26" w:rsidRPr="00972681">
        <w:rPr>
          <w:noProof/>
        </w:rPr>
        <w:t xml:space="preserve"> (30%) –</w:t>
      </w:r>
      <w:r w:rsidR="00C37ADF" w:rsidRPr="00972681">
        <w:rPr>
          <w:noProof/>
        </w:rPr>
        <w:t xml:space="preserve"> A system of c</w:t>
      </w:r>
      <w:r w:rsidR="008B1D26" w:rsidRPr="00972681">
        <w:rPr>
          <w:noProof/>
        </w:rPr>
        <w:t xml:space="preserve">lassroom </w:t>
      </w:r>
      <w:r w:rsidR="00C37ADF" w:rsidRPr="00972681">
        <w:rPr>
          <w:noProof/>
        </w:rPr>
        <w:t xml:space="preserve">teacher </w:t>
      </w:r>
      <w:r w:rsidR="008B1D26" w:rsidRPr="00972681">
        <w:rPr>
          <w:noProof/>
        </w:rPr>
        <w:t xml:space="preserve">observations </w:t>
      </w:r>
      <w:r w:rsidR="00C37ADF" w:rsidRPr="00972681">
        <w:rPr>
          <w:noProof/>
        </w:rPr>
        <w:t>performed</w:t>
      </w:r>
      <w:r w:rsidR="008B1D26" w:rsidRPr="00972681">
        <w:rPr>
          <w:noProof/>
        </w:rPr>
        <w:t xml:space="preserve"> by administrators, collected by GaDOE and used in Georgia’s teacher evaluations</w:t>
      </w:r>
    </w:p>
    <w:p w:rsidR="004A1810" w:rsidRPr="00972681" w:rsidRDefault="004A1810" w:rsidP="00AB06E8">
      <w:pPr>
        <w:rPr>
          <w:noProof/>
        </w:rPr>
      </w:pPr>
      <w:r w:rsidRPr="00972681">
        <w:rPr>
          <w:b/>
          <w:noProof/>
        </w:rPr>
        <w:t>Employer Survey</w:t>
      </w:r>
      <w:r w:rsidR="008B1D26" w:rsidRPr="00972681">
        <w:rPr>
          <w:noProof/>
        </w:rPr>
        <w:t xml:space="preserve"> (10%) – </w:t>
      </w:r>
      <w:r w:rsidR="008B1D26" w:rsidRPr="00972681">
        <w:t xml:space="preserve">A 31-item survey administered to employers about inductee teachers’ capability and preparedness, based on the ten </w:t>
      </w:r>
      <w:proofErr w:type="spellStart"/>
      <w:r w:rsidR="008B1D26" w:rsidRPr="00972681">
        <w:t>InTASC</w:t>
      </w:r>
      <w:proofErr w:type="spellEnd"/>
      <w:r w:rsidR="008B1D26" w:rsidRPr="00972681">
        <w:t xml:space="preserve"> Standards, which form the basis of teacher preparation program curricula</w:t>
      </w:r>
    </w:p>
    <w:p w:rsidR="004A1810" w:rsidRDefault="004A1810" w:rsidP="00AB06E8">
      <w:r w:rsidRPr="00972681">
        <w:rPr>
          <w:b/>
          <w:noProof/>
        </w:rPr>
        <w:t>Inductee Survey</w:t>
      </w:r>
      <w:r w:rsidR="008B1D26" w:rsidRPr="00972681">
        <w:rPr>
          <w:noProof/>
        </w:rPr>
        <w:t xml:space="preserve"> (10%) – </w:t>
      </w:r>
      <w:r w:rsidR="008B1D26" w:rsidRPr="00972681">
        <w:t xml:space="preserve">A 43-item survey of program completers administered near the end of an inductee teacher’s first year in the classroom, based on the ten </w:t>
      </w:r>
      <w:proofErr w:type="spellStart"/>
      <w:r w:rsidR="008B1D26" w:rsidRPr="00972681">
        <w:t>InTASC</w:t>
      </w:r>
      <w:proofErr w:type="spellEnd"/>
      <w:r w:rsidR="008B1D26" w:rsidRPr="00972681">
        <w:t xml:space="preserve"> Standards</w:t>
      </w:r>
    </w:p>
    <w:tbl>
      <w:tblPr>
        <w:tblStyle w:val="TableGrid"/>
        <w:tblpPr w:leftFromText="180" w:rightFromText="180" w:vertAnchor="text" w:horzAnchor="margin" w:tblpXSpec="right" w:tblpY="782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833"/>
        <w:gridCol w:w="2407"/>
      </w:tblGrid>
      <w:tr w:rsidR="004A1810" w:rsidRPr="00281E6B" w:rsidTr="00C37ADF">
        <w:trPr>
          <w:trHeight w:val="240"/>
        </w:trPr>
        <w:tc>
          <w:tcPr>
            <w:tcW w:w="833" w:type="dxa"/>
            <w:tcMar>
              <w:top w:w="0" w:type="dxa"/>
              <w:bottom w:w="0" w:type="dxa"/>
            </w:tcMar>
          </w:tcPr>
          <w:p w:rsidR="004A1810" w:rsidRPr="00281E6B" w:rsidRDefault="004A1810" w:rsidP="00C37ADF">
            <w:pPr>
              <w:spacing w:before="120"/>
              <w:rPr>
                <w:sz w:val="20"/>
                <w:szCs w:val="20"/>
              </w:rPr>
            </w:pPr>
            <w:r w:rsidRPr="00281E6B">
              <w:rPr>
                <w:sz w:val="20"/>
                <w:szCs w:val="20"/>
              </w:rPr>
              <w:lastRenderedPageBreak/>
              <w:t>Level 4</w:t>
            </w:r>
          </w:p>
        </w:tc>
        <w:tc>
          <w:tcPr>
            <w:tcW w:w="2407" w:type="dxa"/>
            <w:tcMar>
              <w:top w:w="0" w:type="dxa"/>
              <w:bottom w:w="0" w:type="dxa"/>
            </w:tcMar>
          </w:tcPr>
          <w:p w:rsidR="004A1810" w:rsidRPr="00281E6B" w:rsidRDefault="004A1810" w:rsidP="00C37ADF">
            <w:pPr>
              <w:spacing w:before="120"/>
              <w:rPr>
                <w:sz w:val="20"/>
                <w:szCs w:val="20"/>
              </w:rPr>
            </w:pPr>
            <w:r w:rsidRPr="00281E6B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63360" behindDoc="1" locked="0" layoutInCell="1" allowOverlap="1" wp14:anchorId="55EE094F" wp14:editId="27E7FED5">
                      <wp:simplePos x="0" y="0"/>
                      <wp:positionH relativeFrom="column">
                        <wp:posOffset>-624205</wp:posOffset>
                      </wp:positionH>
                      <wp:positionV relativeFrom="paragraph">
                        <wp:posOffset>31115</wp:posOffset>
                      </wp:positionV>
                      <wp:extent cx="2063750" cy="717550"/>
                      <wp:effectExtent l="0" t="0" r="12700" b="2540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63750" cy="717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A1810" w:rsidRDefault="004A1810" w:rsidP="00281E6B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5EE094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-49.15pt;margin-top:2.45pt;width:162.5pt;height:56.5pt;z-index:-251653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">
                      <v:textbox>
                        <w:txbxContent>
                          <w:p w:rsidR="004A1810" w:rsidRDefault="004A1810" w:rsidP="00281E6B"/>
                        </w:txbxContent>
                      </v:textbox>
                    </v:shape>
                  </w:pict>
                </mc:Fallback>
              </mc:AlternateContent>
            </w:r>
            <w:r w:rsidRPr="00281E6B">
              <w:rPr>
                <w:sz w:val="20"/>
                <w:szCs w:val="20"/>
              </w:rPr>
              <w:t>Exemplary</w:t>
            </w:r>
          </w:p>
        </w:tc>
      </w:tr>
      <w:tr w:rsidR="004A1810" w:rsidRPr="00281E6B" w:rsidTr="00C37ADF">
        <w:trPr>
          <w:trHeight w:val="240"/>
        </w:trPr>
        <w:tc>
          <w:tcPr>
            <w:tcW w:w="833" w:type="dxa"/>
            <w:tcMar>
              <w:top w:w="0" w:type="dxa"/>
              <w:bottom w:w="0" w:type="dxa"/>
            </w:tcMar>
          </w:tcPr>
          <w:p w:rsidR="004A1810" w:rsidRPr="00281E6B" w:rsidRDefault="004A1810" w:rsidP="00C37ADF">
            <w:pPr>
              <w:rPr>
                <w:sz w:val="20"/>
                <w:szCs w:val="20"/>
              </w:rPr>
            </w:pPr>
            <w:r w:rsidRPr="00281E6B">
              <w:rPr>
                <w:sz w:val="20"/>
                <w:szCs w:val="20"/>
              </w:rPr>
              <w:t>Level 3</w:t>
            </w:r>
          </w:p>
        </w:tc>
        <w:tc>
          <w:tcPr>
            <w:tcW w:w="2407" w:type="dxa"/>
            <w:tcMar>
              <w:top w:w="0" w:type="dxa"/>
              <w:bottom w:w="0" w:type="dxa"/>
            </w:tcMar>
          </w:tcPr>
          <w:p w:rsidR="004A1810" w:rsidRPr="00281E6B" w:rsidRDefault="004A1810" w:rsidP="00C37ADF">
            <w:pPr>
              <w:rPr>
                <w:sz w:val="20"/>
                <w:szCs w:val="20"/>
              </w:rPr>
            </w:pPr>
            <w:r w:rsidRPr="00281E6B">
              <w:rPr>
                <w:sz w:val="20"/>
                <w:szCs w:val="20"/>
              </w:rPr>
              <w:t>Effective</w:t>
            </w:r>
          </w:p>
        </w:tc>
      </w:tr>
      <w:tr w:rsidR="004A1810" w:rsidRPr="00281E6B" w:rsidTr="00C37ADF">
        <w:trPr>
          <w:trHeight w:val="240"/>
        </w:trPr>
        <w:tc>
          <w:tcPr>
            <w:tcW w:w="833" w:type="dxa"/>
            <w:tcMar>
              <w:top w:w="0" w:type="dxa"/>
              <w:bottom w:w="0" w:type="dxa"/>
            </w:tcMar>
          </w:tcPr>
          <w:p w:rsidR="004A1810" w:rsidRPr="00281E6B" w:rsidRDefault="004A1810" w:rsidP="00C37ADF">
            <w:pPr>
              <w:rPr>
                <w:sz w:val="20"/>
                <w:szCs w:val="20"/>
              </w:rPr>
            </w:pPr>
            <w:r w:rsidRPr="00281E6B">
              <w:rPr>
                <w:sz w:val="20"/>
                <w:szCs w:val="20"/>
              </w:rPr>
              <w:t>Level 2</w:t>
            </w:r>
          </w:p>
        </w:tc>
        <w:tc>
          <w:tcPr>
            <w:tcW w:w="2407" w:type="dxa"/>
            <w:tcMar>
              <w:top w:w="0" w:type="dxa"/>
              <w:bottom w:w="0" w:type="dxa"/>
            </w:tcMar>
          </w:tcPr>
          <w:p w:rsidR="004A1810" w:rsidRPr="00281E6B" w:rsidRDefault="004A1810" w:rsidP="00C37ADF">
            <w:pPr>
              <w:rPr>
                <w:sz w:val="20"/>
                <w:szCs w:val="20"/>
              </w:rPr>
            </w:pPr>
            <w:r w:rsidRPr="00281E6B">
              <w:rPr>
                <w:sz w:val="20"/>
                <w:szCs w:val="20"/>
              </w:rPr>
              <w:t>At Risk of Low Performing</w:t>
            </w:r>
          </w:p>
        </w:tc>
      </w:tr>
      <w:tr w:rsidR="004A1810" w:rsidRPr="00281E6B" w:rsidTr="00C37ADF">
        <w:trPr>
          <w:trHeight w:val="231"/>
        </w:trPr>
        <w:tc>
          <w:tcPr>
            <w:tcW w:w="833" w:type="dxa"/>
            <w:tcMar>
              <w:top w:w="0" w:type="dxa"/>
              <w:bottom w:w="0" w:type="dxa"/>
            </w:tcMar>
          </w:tcPr>
          <w:p w:rsidR="004A1810" w:rsidRPr="00281E6B" w:rsidRDefault="004A1810" w:rsidP="00C37ADF">
            <w:pPr>
              <w:rPr>
                <w:sz w:val="20"/>
                <w:szCs w:val="20"/>
              </w:rPr>
            </w:pPr>
            <w:r w:rsidRPr="00281E6B">
              <w:rPr>
                <w:sz w:val="20"/>
                <w:szCs w:val="20"/>
              </w:rPr>
              <w:t>Level 1</w:t>
            </w:r>
          </w:p>
        </w:tc>
        <w:tc>
          <w:tcPr>
            <w:tcW w:w="2407" w:type="dxa"/>
            <w:tcMar>
              <w:top w:w="0" w:type="dxa"/>
              <w:bottom w:w="0" w:type="dxa"/>
            </w:tcMar>
          </w:tcPr>
          <w:p w:rsidR="004A1810" w:rsidRPr="00281E6B" w:rsidRDefault="004A1810" w:rsidP="00C37ADF">
            <w:pPr>
              <w:rPr>
                <w:sz w:val="20"/>
                <w:szCs w:val="20"/>
              </w:rPr>
            </w:pPr>
            <w:r w:rsidRPr="00281E6B">
              <w:rPr>
                <w:sz w:val="20"/>
                <w:szCs w:val="20"/>
              </w:rPr>
              <w:t>Low Performing</w:t>
            </w:r>
          </w:p>
        </w:tc>
      </w:tr>
    </w:tbl>
    <w:p w:rsidR="004A1810" w:rsidRPr="004A1810" w:rsidRDefault="004A1810" w:rsidP="004A1810">
      <w:pPr>
        <w:pStyle w:val="Heading3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Ratings</w:t>
      </w:r>
    </w:p>
    <w:p w:rsidR="004A1810" w:rsidRDefault="005223C5" w:rsidP="00AB06E8">
      <w:r>
        <w:t xml:space="preserve">Together, the five measures of the TPPEM generate one of </w:t>
      </w:r>
      <w:r w:rsidRPr="004A1810">
        <w:rPr>
          <w:b/>
        </w:rPr>
        <w:t>four possible overall ratings</w:t>
      </w:r>
      <w:r>
        <w:t xml:space="preserve"> for a provider or program. Level 3 is the expected standard of performance for programs and providers in the state, with about three in four provide</w:t>
      </w:r>
      <w:r w:rsidR="004A1810">
        <w:t xml:space="preserve">rs earning this rating in prior </w:t>
      </w:r>
      <w:r>
        <w:t>years for which the calculation was modeled.</w:t>
      </w:r>
      <w:r w:rsidR="004A1810">
        <w:t xml:space="preserve"> </w:t>
      </w:r>
      <w:r w:rsidR="008B1D26" w:rsidRPr="00972681">
        <w:t>Each measure also receives a non-consequential level designation to assist with interpretation.</w:t>
      </w:r>
    </w:p>
    <w:p w:rsidR="004A1810" w:rsidRPr="004A1810" w:rsidRDefault="004A1810" w:rsidP="004A1810">
      <w:pPr>
        <w:pStyle w:val="Heading3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Calculation</w:t>
      </w:r>
    </w:p>
    <w:p w:rsidR="00E00A09" w:rsidRDefault="00AB06E8" w:rsidP="00AB06E8">
      <w:r>
        <w:t xml:space="preserve">In creating the TPPEM, the main challenge was finding sufficient data for preparation programs to generate reliable scores for each of the measures. To meet this challenge, </w:t>
      </w:r>
      <w:proofErr w:type="spellStart"/>
      <w:r>
        <w:t>GaPSC</w:t>
      </w:r>
      <w:proofErr w:type="spellEnd"/>
      <w:r>
        <w:t xml:space="preserve"> aggregates the prior </w:t>
      </w:r>
      <w:r w:rsidRPr="004A1810">
        <w:rPr>
          <w:b/>
        </w:rPr>
        <w:t>three years of data</w:t>
      </w:r>
      <w:r>
        <w:t xml:space="preserve"> collected in calculating any year’s TPPEM for all programs and providers</w:t>
      </w:r>
      <w:r w:rsidR="00E00A09">
        <w:t>. In addition, t</w:t>
      </w:r>
      <w:r>
        <w:t xml:space="preserve">he </w:t>
      </w:r>
      <w:proofErr w:type="spellStart"/>
      <w:r>
        <w:t>GaPSC</w:t>
      </w:r>
      <w:proofErr w:type="spellEnd"/>
      <w:r>
        <w:t xml:space="preserve"> </w:t>
      </w:r>
      <w:r w:rsidR="00E00A09">
        <w:t>calculates</w:t>
      </w:r>
      <w:r>
        <w:t xml:space="preserve"> a TPPEM </w:t>
      </w:r>
      <w:r w:rsidR="00E00A09">
        <w:t xml:space="preserve">overall rating </w:t>
      </w:r>
      <w:r>
        <w:t xml:space="preserve">for programs and providers that are missing some, but not all, of the five measures that comprise the TPPEM, while holding them harmless for the missing data. </w:t>
      </w:r>
    </w:p>
    <w:p w:rsidR="00AB06E8" w:rsidRDefault="00E00A09" w:rsidP="00AB06E8">
      <w:r>
        <w:t xml:space="preserve">Despite these efforts, there are still some programs whose small size prevents them from generating data for at least 10 individuals, which is the minimum that </w:t>
      </w:r>
      <w:proofErr w:type="spellStart"/>
      <w:r>
        <w:t>GaPSC</w:t>
      </w:r>
      <w:proofErr w:type="spellEnd"/>
      <w:r>
        <w:t xml:space="preserve"> requires in order to score a given measure. At the program level, p</w:t>
      </w:r>
      <w:r w:rsidR="00AB06E8">
        <w:t xml:space="preserve">rograms that lack sufficient data in too many measures will not have a TPPEM calculated at all. However, </w:t>
      </w:r>
      <w:r w:rsidR="00AB06E8" w:rsidRPr="004A1810">
        <w:rPr>
          <w:b/>
        </w:rPr>
        <w:t>all candidates at a program provider contribute</w:t>
      </w:r>
      <w:r w:rsidR="00AB06E8">
        <w:t xml:space="preserve"> directly to the provider TPPEM, whether or not they are in a program that receives its own TPPEM. Thus, providers are assessed on their effectiveness at prepari</w:t>
      </w:r>
      <w:bookmarkStart w:id="0" w:name="_GoBack"/>
      <w:bookmarkEnd w:id="0"/>
      <w:r w:rsidR="00AB06E8">
        <w:t>ng every single completer of a teaching program for whom any measures are available.</w:t>
      </w:r>
    </w:p>
    <w:p w:rsidR="004A1810" w:rsidRPr="004A1810" w:rsidRDefault="004A1810" w:rsidP="004A1810">
      <w:pPr>
        <w:pStyle w:val="Heading3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Publication</w:t>
      </w:r>
    </w:p>
    <w:p w:rsidR="004253D3" w:rsidRDefault="00E00A09">
      <w:r>
        <w:t xml:space="preserve">The 2018-2019 Academic Year calculation is the first year for which TPPEM ratings will be </w:t>
      </w:r>
      <w:hyperlink r:id="rId7" w:history="1">
        <w:r w:rsidRPr="00E00A09">
          <w:rPr>
            <w:rStyle w:val="Hyperlink"/>
          </w:rPr>
          <w:t>consequential</w:t>
        </w:r>
      </w:hyperlink>
      <w:r>
        <w:t xml:space="preserve"> for providers and programs</w:t>
      </w:r>
      <w:r w:rsidR="00C37ADF">
        <w:t>, having implications for program approval</w:t>
      </w:r>
      <w:r>
        <w:t xml:space="preserve">. The 2018-2019 ratings will be published in the summer of 2019, first internally to providers, then directly to the public on </w:t>
      </w:r>
      <w:proofErr w:type="spellStart"/>
      <w:r>
        <w:t>GaPSC’s</w:t>
      </w:r>
      <w:proofErr w:type="spellEnd"/>
      <w:r>
        <w:t xml:space="preserve"> </w:t>
      </w:r>
      <w:r w:rsidRPr="00C37ADF">
        <w:rPr>
          <w:b/>
        </w:rPr>
        <w:t>PPEM dashboard</w:t>
      </w:r>
      <w:r>
        <w:t xml:space="preserve">. </w:t>
      </w:r>
      <w:r w:rsidR="00C37ADF" w:rsidRPr="00972681">
        <w:t>The internal dashboard also contains additional in-depth data for each measure to further assist preparation programs in continuous improvement.</w:t>
      </w:r>
      <w:r w:rsidR="00C37ADF">
        <w:t xml:space="preserve"> </w:t>
      </w:r>
      <w:r>
        <w:t xml:space="preserve">The 2017-2018 calculated ratings, which were </w:t>
      </w:r>
      <w:r w:rsidR="00F463ED">
        <w:t>non-consequential, were published to providers and were used to refine the TPPEM calculation in preparation for consequential implementation.</w:t>
      </w:r>
      <w:r w:rsidR="00281E6B">
        <w:t xml:space="preserve"> Leader preparation program effectiveness measures (LPPEMs) for Tier I and Tier II programs are in development and will be published in later years, when sufficient data ha</w:t>
      </w:r>
      <w:r w:rsidR="00C37ADF">
        <w:t>ve</w:t>
      </w:r>
      <w:r w:rsidR="00281E6B">
        <w:t xml:space="preserve"> become available for completers of those programs.</w:t>
      </w:r>
    </w:p>
    <w:sectPr w:rsidR="004253D3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5880" w:rsidRDefault="00DF5880" w:rsidP="00F463ED">
      <w:pPr>
        <w:spacing w:after="0" w:line="240" w:lineRule="auto"/>
      </w:pPr>
      <w:r>
        <w:separator/>
      </w:r>
    </w:p>
  </w:endnote>
  <w:endnote w:type="continuationSeparator" w:id="0">
    <w:p w:rsidR="00DF5880" w:rsidRDefault="00DF5880" w:rsidP="00F463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63ED" w:rsidRDefault="00F463ED">
    <w:pPr>
      <w:pStyle w:val="Footer"/>
    </w:pPr>
    <w:r>
      <w:t>Georgia Professional Standards Commission</w:t>
    </w:r>
    <w:r>
      <w:tab/>
    </w:r>
    <w:r>
      <w:tab/>
      <w:t>April 23, 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5880" w:rsidRDefault="00DF5880" w:rsidP="00F463ED">
      <w:pPr>
        <w:spacing w:after="0" w:line="240" w:lineRule="auto"/>
      </w:pPr>
      <w:r>
        <w:separator/>
      </w:r>
    </w:p>
  </w:footnote>
  <w:footnote w:type="continuationSeparator" w:id="0">
    <w:p w:rsidR="00DF5880" w:rsidRDefault="00DF5880" w:rsidP="00F463E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6E8"/>
    <w:rsid w:val="00103665"/>
    <w:rsid w:val="00281E6B"/>
    <w:rsid w:val="003C629F"/>
    <w:rsid w:val="004253D3"/>
    <w:rsid w:val="004A1810"/>
    <w:rsid w:val="005223C5"/>
    <w:rsid w:val="006149CA"/>
    <w:rsid w:val="007D3489"/>
    <w:rsid w:val="008B1D26"/>
    <w:rsid w:val="00972681"/>
    <w:rsid w:val="009A64B5"/>
    <w:rsid w:val="00AB06E8"/>
    <w:rsid w:val="00BE5129"/>
    <w:rsid w:val="00C37ADF"/>
    <w:rsid w:val="00DF5880"/>
    <w:rsid w:val="00E00A09"/>
    <w:rsid w:val="00F463ED"/>
    <w:rsid w:val="00FF0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D9136B-D768-4E9E-88EB-07E55BCDF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06E8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181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A181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B06E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06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E00A09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463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63ED"/>
  </w:style>
  <w:style w:type="paragraph" w:styleId="Footer">
    <w:name w:val="footer"/>
    <w:basedOn w:val="Normal"/>
    <w:link w:val="FooterChar"/>
    <w:uiPriority w:val="99"/>
    <w:unhideWhenUsed/>
    <w:rsid w:val="00F463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63ED"/>
  </w:style>
  <w:style w:type="table" w:styleId="TableGrid">
    <w:name w:val="Table Grid"/>
    <w:basedOn w:val="TableNormal"/>
    <w:uiPriority w:val="39"/>
    <w:rsid w:val="005223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A18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1810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4A181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A181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www.gapsc.com/EducatorPreparation/PPEM/Documents/PPEM%20Implications%20-%20May%202018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513380928794388"/>
          <c:y val="1.5628785223300263E-2"/>
          <c:w val="0.81171354684215979"/>
          <c:h val="0.80832249504777187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Column1</c:v>
                </c:pt>
              </c:strCache>
            </c:strRef>
          </c:tx>
          <c:dPt>
            <c:idx val="0"/>
            <c:bubble3D val="0"/>
            <c:spPr>
              <a:solidFill>
                <a:schemeClr val="accent4">
                  <a:lumMod val="75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0035-4094-AB31-83889090DB0A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0035-4094-AB31-83889090DB0A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0035-4094-AB31-83889090DB0A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0035-4094-AB31-83889090DB0A}"/>
              </c:ext>
            </c:extLst>
          </c:dPt>
          <c:dPt>
            <c:idx val="4"/>
            <c:bubble3D val="0"/>
            <c:spPr>
              <a:solidFill>
                <a:srgbClr val="A80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0035-4094-AB31-83889090DB0A}"/>
              </c:ext>
            </c:extLst>
          </c:dPt>
          <c:dLbls>
            <c:dLbl>
              <c:idx val="1"/>
              <c:layout>
                <c:manualLayout>
                  <c:x val="5.3436968666504644E-2"/>
                  <c:y val="-6.2068965517241378E-2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0035-4094-AB31-83889090DB0A}"/>
                </c:ext>
              </c:extLst>
            </c:dLbl>
            <c:dLbl>
              <c:idx val="2"/>
              <c:layout>
                <c:manualLayout>
                  <c:x val="-1.8924222400302962E-2"/>
                  <c:y val="-3.840076024979636E-3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36539602454963954"/>
                      <c:h val="0.191383654629378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5-0035-4094-AB31-83889090DB0A}"/>
                </c:ext>
              </c:extLst>
            </c:dLbl>
            <c:dLbl>
              <c:idx val="3"/>
              <c:layout>
                <c:manualLayout>
                  <c:x val="-3.9368931203249823E-2"/>
                  <c:y val="-9.6551995655715511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6576" tIns="18288" rIns="36576" bIns="18288" anchor="ctr" anchorCtr="1">
                  <a:spAutoFit/>
                </a:bodyPr>
                <a:lstStyle/>
                <a:p>
                  <a:pPr>
                    <a:defRPr sz="10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23298518338596066"/>
                      <c:h val="0.27237958186261196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7-0035-4094-AB31-83889090DB0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Sheet1!$A$2:$A$6</c:f>
              <c:strCache>
                <c:ptCount val="5"/>
                <c:pt idx="0">
                  <c:v>edTPA</c:v>
                </c:pt>
                <c:pt idx="1">
                  <c:v>GACE</c:v>
                </c:pt>
                <c:pt idx="2">
                  <c:v>Inductee survey</c:v>
                </c:pt>
                <c:pt idx="3">
                  <c:v>Employer survey</c:v>
                </c:pt>
                <c:pt idx="4">
                  <c:v>TAPS</c:v>
                </c:pt>
              </c:strCache>
            </c:strRef>
          </c:cat>
          <c:val>
            <c:numRef>
              <c:f>Sheet1!$B$2:$B$6</c:f>
              <c:numCache>
                <c:formatCode>General</c:formatCode>
                <c:ptCount val="5"/>
                <c:pt idx="0">
                  <c:v>30</c:v>
                </c:pt>
                <c:pt idx="1">
                  <c:v>20</c:v>
                </c:pt>
                <c:pt idx="2">
                  <c:v>10</c:v>
                </c:pt>
                <c:pt idx="3">
                  <c:v>10</c:v>
                </c:pt>
                <c:pt idx="4">
                  <c:v>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0035-4094-AB31-83889090DB0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000"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33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62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766</Words>
  <Characters>4368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GAPSC</Company>
  <LinksUpToDate>false</LinksUpToDate>
  <CharactersWithSpaces>5124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 Fethe</dc:creator>
  <cp:keywords/>
  <dc:description/>
  <cp:lastModifiedBy>Joy Fethe</cp:lastModifiedBy>
  <cp:revision>2</cp:revision>
  <cp:lastPrinted>2019-04-23T18:58:00Z</cp:lastPrinted>
  <dcterms:created xsi:type="dcterms:W3CDTF">2019-04-24T14:41:00Z</dcterms:created>
  <dcterms:modified xsi:type="dcterms:W3CDTF">2019-04-24T14:41:00Z</dcterms:modified>
</cp:coreProperties>
</file>